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58.png" ContentType="image/png"/>
  <Override PartName="/word/media/rId62.png" ContentType="image/png"/>
  <Override PartName="/word/media/rId67.png" ContentType="image/png"/>
  <Override PartName="/word/media/rId119.png" ContentType="image/png"/>
  <Override PartName="/word/media/rId129.png" ContentType="image/png"/>
  <Override PartName="/word/media/rId124.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 
</w:t>
      </w:r>
      <w:r>
        <w:br/>
      </w:r>
      <m:oMath>
        <m:sSup>
          <m:e>
            <m:r>
              <m:t>​</m:t>
            </m:r>
          </m:e>
          <m:sup>
            <m:r>
              <m:t>2</m:t>
            </m:r>
          </m:sup>
        </m:sSup>
      </m:oMath>
      <w:r>
        <w:t xml:space="preserve"> </w:t>
      </w:r>
      <w:r>
        <w:t xml:space="preserve">Ecology and Evolution Research Centre, School of Biological, Earth and Environmental Sciences, University of New South Wales, Sydney, NSW, Australia 
</w:t>
      </w:r>
      <w:r>
        <w:br/>
      </w:r>
      <m:oMath>
        <m:sSup>
          <m:e>
            <m:r>
              <m:t>​</m:t>
            </m:r>
          </m:e>
          <m:sup>
            <m:r>
              <m:t>3</m:t>
            </m:r>
          </m:sup>
        </m:sSup>
      </m:oMath>
      <w:r>
        <w:t xml:space="preserve"> </w:t>
      </w:r>
      <w:r>
        <w:t xml:space="preserve">SOLES, University of Sydney, Sydney, NSW, Australia 
</w:t>
      </w:r>
      <w:r>
        <w:br/>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Climate change is expected to result in warmer and more variable thermal environments for many organisms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Greater thermal variability in the past is expected to have resulted in strong selection pressures leading to genetic adaptation and/or the evolution of adaptive phenotypic plasticity – both of which are considered important for population resilience to contemporary human-induced climate change</w:t>
      </w:r>
      <w:r>
        <w:t xml:space="preserve"> </w:t>
      </w:r>
      <w:r>
        <w:t xml:space="preserve">(Chevin</w:t>
      </w:r>
      <w:r>
        <w:t xml:space="preserve"> </w:t>
      </w:r>
      <w:r>
        <w:rPr>
          <w:iCs/>
          <w:i/>
        </w:rPr>
        <w:t xml:space="preserve">et al.</w:t>
      </w:r>
      <w:r>
        <w:t xml:space="preserve"> </w:t>
      </w:r>
      <w:r>
        <w:t xml:space="preserve">2010; Merila &amp; Hendry 2014; Chevin &amp; Lande 2015; Seebacher</w:t>
      </w:r>
      <w:r>
        <w:t xml:space="preserve"> </w:t>
      </w:r>
      <w:r>
        <w:rPr>
          <w:iCs/>
          <w:i/>
        </w:rPr>
        <w:t xml:space="preserve">et al.</w:t>
      </w:r>
      <w:r>
        <w:t xml:space="preserve"> </w:t>
      </w:r>
      <w:r>
        <w:t xml:space="preserve">2015; Nunney 2016; Chevin &amp; Hoffmann 2017)</w:t>
      </w:r>
      <w:r>
        <w:t xml:space="preserve">. The extent to which adaptive plasticity and genetic adaptation will allow organisms to adapt to new environmental conditions is not yet clearly established</w:t>
      </w:r>
      <w:r>
        <w:t xml:space="preserve"> </w:t>
      </w:r>
      <w:r>
        <w:t xml:space="preserve">(Chevin &amp; Hoffmann 2017)</w:t>
      </w:r>
      <w:r>
        <w:t xml:space="preserve">. Without such responses, high rates of extinction are predicted if organisms cannot track suitable habitats</w:t>
      </w:r>
      <w:r>
        <w:t xml:space="preserve"> </w:t>
      </w:r>
      <w:r>
        <w:t xml:space="preserve">(Cahill</w:t>
      </w:r>
      <w:r>
        <w:t xml:space="preserve"> </w:t>
      </w:r>
      <w:r>
        <w:rPr>
          <w:iCs/>
          <w:i/>
        </w:rPr>
        <w:t xml:space="preserve">et al.</w:t>
      </w:r>
      <w:r>
        <w:t xml:space="preserve"> </w:t>
      </w:r>
      <w:r>
        <w:t xml:space="preserve">2012; Nunney 2016)</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by buying time for genetic adaptation to take place</w:t>
      </w:r>
      <w:r>
        <w:t xml:space="preserve"> </w:t>
      </w:r>
      <w:r>
        <w:t xml:space="preserve">Lande (2009)</w:t>
      </w:r>
      <w:r>
        <w:t xml:space="preserve">. Phenotypic plasticity is predicted to evolve when environmental variability is high but predictable and the costs of plasticity is low</w:t>
      </w:r>
      <w:r>
        <w:t xml:space="preserve"> </w:t>
      </w:r>
      <w:r>
        <w:t xml:space="preserve">(Nunney 2016; Chevin &amp; Hoffmann 2017; Scheiner</w:t>
      </w:r>
      <w:r>
        <w:t xml:space="preserve"> </w:t>
      </w:r>
      <w:r>
        <w:rPr>
          <w:iCs/>
          <w:i/>
        </w:rPr>
        <w:t xml:space="preserve">et al.</w:t>
      </w:r>
      <w:r>
        <w:t xml:space="preserve"> </w:t>
      </w:r>
      <w:r>
        <w:t xml:space="preserve">2020)</w:t>
      </w:r>
      <w:r>
        <w:t xml:space="preserve">. Despite this theoretical expectation, empirical support is scant [], likely because many organisms can behaviorally adjust micro-habitat selection to offset thermal stress, the costs of plasticity are high</w:t>
      </w:r>
      <w:r>
        <w:t xml:space="preserve"> </w:t>
      </w:r>
      <w:r>
        <w:t xml:space="preserve">(Chevin &amp; Lande 2015)</w:t>
      </w:r>
      <w:r>
        <w:t xml:space="preserve">,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Arguably, reversible forms of phenotypic plasticty, such as acclimitisation and behavioural plasticity, are likely to provide greater potential to buffer populations from climate impacts as responses can be fine-tuned to environments</w:t>
      </w:r>
      <w:r>
        <w:t xml:space="preserve"> </w:t>
      </w:r>
      <w:r>
        <w:t xml:space="preserve">(assuming the costs of plasticty are low – Scheiner</w:t>
      </w:r>
      <w:r>
        <w:t xml:space="preserve"> </w:t>
      </w:r>
      <w:r>
        <w:rPr>
          <w:iCs/>
          <w:i/>
        </w:rPr>
        <w:t xml:space="preserve">et al.</w:t>
      </w:r>
      <w:r>
        <w:t xml:space="preserve"> </w:t>
      </w:r>
      <w:r>
        <w:t xml:space="preserve">2020)</w:t>
      </w:r>
      <w:r>
        <w:t xml:space="preserve">. Such responses are driven by changes in underlying physiology that can respond rapidly to the environment. However, studies have primarily been focused on mean physiological responses, paying little attention to changes in physiological variability</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For example, most work has focused on the degree to which mean thermal tolerances or acclimation abilities in a population are likely to shift in response to thermal environments</w:t>
      </w:r>
      <w:r>
        <w:t xml:space="preserve"> </w:t>
      </w:r>
      <w:r>
        <w:t xml:space="preserve">(Gunderson &amp; Stillman 2015; 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 Pottier</w:t>
      </w:r>
      <w:r>
        <w:t xml:space="preserve"> </w:t>
      </w:r>
      <w:r>
        <w:rPr>
          <w:iCs/>
          <w:i/>
        </w:rPr>
        <w:t xml:space="preserve">et al.</w:t>
      </w:r>
      <w:r>
        <w:t xml:space="preserve"> </w:t>
      </w:r>
      <w:r>
        <w:t xml:space="preserve">2022)</w:t>
      </w:r>
      <w:r>
        <w:t xml:space="preserve">, neglecting how intrapopulation variability might also be impacted. Understanding how variability in physiological rates – traits thought to be closely closely linked to fitness – are affected by climate change has important implications for understanding a populations capacity for physiological trait evolution because lack of physiological variation is expected to play a role in limiting responses to selection (i.e., the</w:t>
      </w:r>
      <w:r>
        <w:t xml:space="preserve"> </w:t>
      </w:r>
      <w:r>
        <w:t xml:space="preserve">‘</w:t>
      </w:r>
      <w:r>
        <w:t xml:space="preserve">opportunity for selection on a trait</w:t>
      </w:r>
      <w:r>
        <w:t xml:space="preserve">’</w:t>
      </w:r>
      <w:r>
        <w:t xml:space="preserve">)</w:t>
      </w:r>
      <w:r>
        <w:t xml:space="preserve"> </w:t>
      </w:r>
      <w:r>
        <w:t xml:space="preserve">(Pelletier &amp; Coulson 2012)</w:t>
      </w:r>
      <w:r>
        <w:t xml:space="preserve">. Higher physiological variability may also imply greater niche breadth and inform on the extent to which populations are able to buffer against environmental change</w:t>
      </w:r>
      <w:r>
        <w:t xml:space="preserve"> </w:t>
      </w:r>
      <w:r>
        <w:t xml:space="preserve">(for example, through</w:t>
      </w:r>
      <w:r>
        <w:t xml:space="preserve"> </w:t>
      </w:r>
      <w:r>
        <w:t xml:space="preserve">‘</w:t>
      </w:r>
      <w:r>
        <w:t xml:space="preserve">portfolio effects</w:t>
      </w:r>
      <w:r>
        <w:t xml:space="preserve">’</w:t>
      </w:r>
      <w:r>
        <w:t xml:space="preserve"> </w:t>
      </w:r>
      <w:r>
        <w:t xml:space="preserve">see Schindler</w:t>
      </w:r>
      <w:r>
        <w:t xml:space="preserve"> </w:t>
      </w:r>
      <w:r>
        <w:rPr>
          <w:iCs/>
          <w:i/>
        </w:rPr>
        <w:t xml:space="preserve">et al.</w:t>
      </w:r>
      <w:r>
        <w:t xml:space="preserve"> </w:t>
      </w:r>
      <w:r>
        <w:t xml:space="preserve">2010;</w:t>
      </w:r>
      <w:r>
        <w:t xml:space="preserve"> </w:t>
      </w:r>
      <w:r>
        <w:rPr>
          <w:bCs/>
          <w:b/>
        </w:rPr>
        <w:t xml:space="preserve">Zhang2023?</w:t>
      </w:r>
      <w:r>
        <w:t xml:space="preserve">)</w:t>
      </w:r>
      <w:r>
        <w:t xml:space="preserve">. Decreases in phenotypic variance may also suggest strong stabilising selection or constraints on performance, depending on the trait</w:t>
      </w:r>
      <w:r>
        <w:t xml:space="preserve"> </w:t>
      </w:r>
      <w:r>
        <w:t xml:space="preserve">(Scheiner</w:t>
      </w:r>
      <w:r>
        <w:t xml:space="preserve"> </w:t>
      </w:r>
      <w:r>
        <w:rPr>
          <w:iCs/>
          <w:i/>
        </w:rPr>
        <w:t xml:space="preserve">et al.</w:t>
      </w:r>
      <w:r>
        <w:t xml:space="preserve"> </w:t>
      </w:r>
      <w:r>
        <w:t xml:space="preserve">2020)</w:t>
      </w:r>
      <w:r>
        <w:t xml:space="preserve">. The implications of changes in variance could therefore have wide-reaching implications for understanding the capacity for populations to adapt to novel environments</w:t>
      </w:r>
      <w:r>
        <w:t xml:space="preserve"> </w:t>
      </w:r>
      <w:r>
        <w:t xml:space="preserve">(Scheiner</w:t>
      </w:r>
      <w:r>
        <w:t xml:space="preserve"> </w:t>
      </w:r>
      <w:r>
        <w:rPr>
          <w:iCs/>
          <w:i/>
        </w:rPr>
        <w:t xml:space="preserve">et al.</w:t>
      </w:r>
      <w:r>
        <w:t xml:space="preserve"> </w:t>
      </w:r>
      <w:r>
        <w:t xml:space="preserve">2020)</w:t>
      </w:r>
      <w:r>
        <w:t xml:space="preserve">.</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Low oxygen availability has been suggested as a major factor influencing the vulnerability of aquatic ecosystems whereas remaining close to thermal limits is expected to be a stronger constraint on physiological processes in terrestrial ectotherms. Given that terrestrial ectotherms are expected to be closer to their thermal limits increases in temperature may have a stronger impact on variation in physiological rates within populations compared to aqautic ectotherms. Reduced variability may result from variances being eroded by strong selection, an inability to adjust physiological rates, or a combination of both.</w:t>
      </w:r>
    </w:p>
    <w:p>
      <w:pPr>
        <w:pStyle w:val="BodyText"/>
      </w:pPr>
      <w:r>
        <w:t xml:space="preserve">Here, we use meta-analysis and new effect sizes to re-evaluate the degree to which aquatic and terrestrial ectotherms are capable of physiological plasticity. We then expand these effect sizes to allow for comparisons of variance in physiological rates to ask the following questions: 1) How much is variance in physiological rates expected to change, if at all, as temperatures rise? 2) Are temperture effects on plastic adjustments in physiolgical rates larger than changes in variance across aquatic and terrestrial ectotherms? 3) Are changes in plasticity or variance in physiological rates impacted by a population’s past climate history? and 4) How are means and variances in physiological rates expected to change under climate change?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1.22,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of climate warming will have on opportunity for selection.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4.3.1) using</w:t>
      </w:r>
      <w:r>
        <w:t xml:space="preserve"> </w:t>
      </w:r>
      <w:r>
        <w:rPr>
          <w:iCs/>
          <w:i/>
        </w:rPr>
        <w:t xml:space="preserve">brms</w:t>
      </w:r>
      <w:r>
        <w:t xml:space="preserve"> </w:t>
      </w:r>
      <w:r>
        <w:t xml:space="preserve">(vers. 2.20.4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3.1.0,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3.9.0,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1.9.16,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7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0.96; Adult-Jeuvenile (Acclimation): 0.05, 95% CI: -0.16 to 0.38,</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relationships among taxa and species ecology explained little variation in acute and acclimation repsonses (Species: 2.39% , 95% CI: 0.01 to 8.1%; Phylogeny: 2.89% , 95% CI: 0 to 12.94%).</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57"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was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physiological rate variance at high temperatures (8.62%, 95% CI: 0.41 to 21.78,</w:t>
      </w:r>
      <w:r>
        <w:t xml:space="preserve"> </w:t>
      </w:r>
      <m:oMath>
        <m:sSub>
          <m:e>
            <m:r>
              <m:t>p</m:t>
            </m:r>
          </m:e>
          <m:sub>
            <m:r>
              <m:t>M</m:t>
            </m:r>
            <m:r>
              <m:t>C</m:t>
            </m:r>
            <m:r>
              <m:t>M</m:t>
            </m:r>
            <m:r>
              <m:t>C</m:t>
            </m:r>
          </m:sub>
        </m:sSub>
      </m:oMath>
      <w:r>
        <w:t xml:space="preserve"> </w:t>
      </w:r>
      <w:r>
        <w:t xml:space="preserve">= 0.33).</w:t>
      </w:r>
    </w:p>
    <w:bookmarkEnd w:id="57"/>
    <w:bookmarkStart w:id="66"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(-0.01, 95%CI: -0.14 to 0.12,</w:t>
      </w:r>
      <w:r>
        <w:t xml:space="preserve"> </w:t>
      </w:r>
      <m:oMath>
        <m:sSub>
          <m:e>
            <m:r>
              <m:t>p</m:t>
            </m:r>
          </m:e>
          <m:sub>
            <m:r>
              <m:t>M</m:t>
            </m:r>
            <m:r>
              <m:t>C</m:t>
            </m:r>
            <m:r>
              <m:t>M</m:t>
            </m:r>
            <m:r>
              <m:t>C</m:t>
            </m:r>
          </m:sub>
        </m:sSub>
      </m:oMath>
      <w:r>
        <w:t xml:space="preserve"> </w:t>
      </w:r>
      <w:r>
        <w:t xml:space="preserve">= 0.9;</w:t>
      </w:r>
      <w:r>
        <w:t xml:space="preserve"> </w:t>
      </w:r>
      <m:oMath>
        <m:sSup>
          <m:e>
            <m:r>
              <m:t>R</m:t>
            </m:r>
          </m:e>
          <m:sup>
            <m:r>
              <m:t>2</m:t>
            </m:r>
          </m:sup>
        </m:sSup>
      </m:oMath>
      <w:r>
        <w:t xml:space="preserve"> </w:t>
      </w:r>
      <w:r>
        <w:t xml:space="preserve">= 14.12%). In contrast, thermal predictability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across any of the habitats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1" w:name="fig-4"/>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4-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 w:name="fig-5"/>
          <w:p>
            <w:pPr>
              <w:pStyle w:val="Figure"/>
              <w:jc w:val="center"/>
            </w:pPr>
            <w:r>
              <w:drawing>
                <wp:inline>
                  <wp:extent cx="6680200" cy="7087529"/>
                  <wp:effectExtent b="0" l="0" r="0" t="0"/>
                  <wp:docPr descr="" title="" id="63" name="Picture"/>
                  <a:graphic>
                    <a:graphicData uri="http://schemas.openxmlformats.org/drawingml/2006/picture">
                      <pic:pic>
                        <pic:nvPicPr>
                          <pic:cNvPr descr="ms_files/figure-docx/fig-5-1.png" id="64" name="Picture"/>
                          <pic:cNvPicPr>
                            <a:picLocks noChangeArrowheads="1" noChangeAspect="1"/>
                          </pic:cNvPicPr>
                        </pic:nvPicPr>
                        <pic:blipFill>
                          <a:blip r:embed="rId6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5"/>
        </w:tc>
      </w:tr>
    </w:tbl>
    <w:bookmarkEnd w:id="66"/>
    <w:bookmarkStart w:id="71"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6</w:t>
        </w:r>
      </w:hyperlink>
      <w:r>
        <w:t xml:space="preserve"> </w:t>
      </w:r>
      <w:r>
        <w:t xml:space="preserve">A-C). Projected changes in the opportunity for selection were highly variable across the globe, with some regions showing a decrease in the opportunity for selection, while others showing an increase (</w:t>
      </w:r>
      <w:hyperlink w:anchor="fig-fig6">
        <w:r>
          <w:rPr>
            <w:rStyle w:val="Hyperlink"/>
          </w:rPr>
          <w:t xml:space="preserve">Figure 6</w:t>
        </w:r>
      </w:hyperlink>
      <w:r>
        <w:t xml:space="preserve"> </w:t>
      </w:r>
      <w:r>
        <w:t xml:space="preserve">D). Out of the 188 populations variance was predicted to decrease in 96.81% of the locations.</w:t>
      </w:r>
    </w:p>
    <w:p>
      <w:pPr>
        <w:pStyle w:val="BodyText"/>
      </w:pPr>
      <w:r>
        <w:t xml:space="preserve">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0.13% change in variance for freshwater systems (95% CI: -6.43 to 6.3%,</w:t>
      </w:r>
      <w:r>
        <w:t xml:space="preserve"> </w:t>
      </w:r>
      <m:oMath>
        <m:sSub>
          <m:e>
            <m:r>
              <m:t>p</m:t>
            </m:r>
          </m:e>
          <m:sub>
            <m:r>
              <m:t>M</m:t>
            </m:r>
            <m:r>
              <m:t>C</m:t>
            </m:r>
            <m:r>
              <m:t>M</m:t>
            </m:r>
            <m:r>
              <m:t>C</m:t>
            </m:r>
          </m:sub>
        </m:sSub>
      </m:oMath>
      <w:r>
        <w:t xml:space="preserve"> </w:t>
      </w:r>
      <w:r>
        <w:t xml:space="preserve">= 0.93), whereas we expect a 2.81% reduction in variance for marine systems (95% CI: -6.28 to 1.3%,</w:t>
      </w:r>
      <w:r>
        <w:t xml:space="preserve"> </w:t>
      </w:r>
      <m:oMath>
        <m:sSub>
          <m:e>
            <m:r>
              <m:t>p</m:t>
            </m:r>
          </m:e>
          <m:sub>
            <m:r>
              <m:t>M</m:t>
            </m:r>
            <m:r>
              <m:t>C</m:t>
            </m:r>
            <m:r>
              <m:t>M</m:t>
            </m:r>
            <m:r>
              <m:t>C</m:t>
            </m:r>
          </m:sub>
        </m:sSub>
      </m:oMath>
      <w:r>
        <w:t xml:space="preserve"> </w:t>
      </w:r>
      <w:r>
        <w:t xml:space="preserve">= 0.37) and a 11.86% reduction in variance for terrestrial systems (95% CI: -19.03 to -5.94%,</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0" w:name="fig-fig6"/>
          <w:p>
            <w:pPr>
              <w:pStyle w:val="Figure"/>
              <w:jc w:val="center"/>
            </w:pPr>
            <w:r>
              <w:drawing>
                <wp:inline>
                  <wp:extent cx="6680200" cy="8650002"/>
                  <wp:effectExtent b="0" l="0" r="0" t="0"/>
                  <wp:docPr descr="" title="" id="68" name="Picture"/>
                  <a:graphic>
                    <a:graphicData uri="http://schemas.openxmlformats.org/drawingml/2006/picture">
                      <pic:pic>
                        <pic:nvPicPr>
                          <pic:cNvPr descr="ms_files/figure-docx/fig-fig6-1.png" id="69" name="Picture"/>
                          <pic:cNvPicPr>
                            <a:picLocks noChangeArrowheads="1" noChangeAspect="1"/>
                          </pic:cNvPicPr>
                        </pic:nvPicPr>
                        <pic:blipFill>
                          <a:blip r:embed="rId67"/>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0"/>
        </w:tc>
      </w:tr>
    </w:tbl>
    <w:bookmarkEnd w:id="71"/>
    <w:bookmarkEnd w:id="72"/>
    <w:bookmarkStart w:id="73"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73"/>
    <w:bookmarkStart w:id="118" w:name="references"/>
    <w:p>
      <w:pPr>
        <w:pStyle w:val="Heading2"/>
      </w:pPr>
      <w:r>
        <w:t xml:space="preserve">References</w:t>
      </w:r>
    </w:p>
    <w:p>
      <w:pPr>
        <w:pStyle w:val="FirstParagraph"/>
      </w:pPr>
    </w:p>
    <w:bookmarkStart w:id="117" w:name="refs"/>
    <w:bookmarkStart w:id="74"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4"/>
    <w:bookmarkStart w:id="75"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5"/>
    <w:bookmarkStart w:id="76"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6"/>
    <w:bookmarkStart w:id="77"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77"/>
    <w:bookmarkStart w:id="78"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78"/>
    <w:bookmarkStart w:id="79" w:name="ref-Chevin2010"/>
    <w:p>
      <w:pPr>
        <w:pStyle w:val="Bibliography"/>
      </w:pPr>
      <w:r>
        <w:t xml:space="preserve">Chevin, L.-M., Lande, R. &amp; Mace, G.M. (2010). Adaptation, plasticity, and extinction in a changing environment: Towards a predictive theory.</w:t>
      </w:r>
      <w:r>
        <w:t xml:space="preserve"> </w:t>
      </w:r>
      <w:r>
        <w:rPr>
          <w:iCs/>
          <w:i/>
        </w:rPr>
        <w:t xml:space="preserve">PLoS Biology</w:t>
      </w:r>
      <w:r>
        <w:t xml:space="preserve">, 8, e1000357, https://doi.org/10.1371/journal.pbio.1000357.</w:t>
      </w:r>
    </w:p>
    <w:bookmarkEnd w:id="79"/>
    <w:bookmarkStart w:id="80" w:name="ref-Chevin2015"/>
    <w:p>
      <w:pPr>
        <w:pStyle w:val="Bibliography"/>
      </w:pPr>
      <w:r>
        <w:t xml:space="preserve">Chevin, L.M. &amp; Lande, R. (2015). Evolution of environmental cues for phenotypic plasticity.</w:t>
      </w:r>
      <w:r>
        <w:t xml:space="preserve"> </w:t>
      </w:r>
      <w:r>
        <w:rPr>
          <w:iCs/>
          <w:i/>
        </w:rPr>
        <w:t xml:space="preserve">Evolution</w:t>
      </w:r>
      <w:r>
        <w:t xml:space="preserve">, 69, 2767–2775, https:// doi.org/10.1111/evo.12755.</w:t>
      </w:r>
    </w:p>
    <w:bookmarkEnd w:id="80"/>
    <w:bookmarkStart w:id="81"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81"/>
    <w:bookmarkStart w:id="82"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82"/>
    <w:bookmarkStart w:id="83"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83"/>
    <w:bookmarkStart w:id="84"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84"/>
    <w:bookmarkStart w:id="85"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85"/>
    <w:bookmarkStart w:id="86"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86"/>
    <w:bookmarkStart w:id="87"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87"/>
    <w:bookmarkStart w:id="88"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88"/>
    <w:bookmarkStart w:id="89" w:name="ref-Lande2009"/>
    <w:p>
      <w:pPr>
        <w:pStyle w:val="Bibliography"/>
      </w:pPr>
      <w:r>
        <w:t xml:space="preserve">Lande, R. (2009). Adaptation to an extraordinary environment by evolution of phenotypic plasticity and genetic assimilation.</w:t>
      </w:r>
      <w:r>
        <w:t xml:space="preserve"> </w:t>
      </w:r>
      <w:r>
        <w:rPr>
          <w:iCs/>
          <w:i/>
        </w:rPr>
        <w:t xml:space="preserve">Journal of Evolutionary Biology</w:t>
      </w:r>
      <w:r>
        <w:t xml:space="preserve">, 22, 1435–1446.</w:t>
      </w:r>
    </w:p>
    <w:bookmarkEnd w:id="89"/>
    <w:bookmarkStart w:id="90" w:name="ref-Merila2014"/>
    <w:p>
      <w:pPr>
        <w:pStyle w:val="Bibliography"/>
      </w:pPr>
      <w:r>
        <w:t xml:space="preserve">Merila, J. &amp; Hendry, A.P. (2014). Climate change, adaptation, and phenotypic plasticity: The problem and the evidence.</w:t>
      </w:r>
      <w:r>
        <w:t xml:space="preserve"> </w:t>
      </w:r>
      <w:r>
        <w:rPr>
          <w:iCs/>
          <w:i/>
        </w:rPr>
        <w:t xml:space="preserve">Evolutionary Applications</w:t>
      </w:r>
      <w:r>
        <w:t xml:space="preserve">, 7, 1–14., doi:10. 1111/eva.12137.</w:t>
      </w:r>
    </w:p>
    <w:bookmarkEnd w:id="90"/>
    <w:bookmarkStart w:id="91"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91"/>
    <w:bookmarkStart w:id="92"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92"/>
    <w:bookmarkStart w:id="93"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93"/>
    <w:bookmarkStart w:id="94"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94"/>
    <w:bookmarkStart w:id="95"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95"/>
    <w:bookmarkStart w:id="96"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96"/>
    <w:bookmarkStart w:id="97"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97"/>
    <w:bookmarkStart w:id="98" w:name="ref-Nunney2016"/>
    <w:p>
      <w:pPr>
        <w:pStyle w:val="Bibliography"/>
      </w:pPr>
      <w:r>
        <w:t xml:space="preserve">Nunney, L. (2016). Adapting to a changing environment: Modeling the interaction of directional selection and plasticity.</w:t>
      </w:r>
      <w:r>
        <w:t xml:space="preserve"> </w:t>
      </w:r>
      <w:r>
        <w:rPr>
          <w:iCs/>
          <w:i/>
        </w:rPr>
        <w:t xml:space="preserve">Journal of Heredity</w:t>
      </w:r>
      <w:r>
        <w:t xml:space="preserve">, 107, 15–24.</w:t>
      </w:r>
    </w:p>
    <w:bookmarkEnd w:id="98"/>
    <w:bookmarkStart w:id="99"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99"/>
    <w:bookmarkStart w:id="100"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100"/>
    <w:bookmarkStart w:id="101" w:name="ref-Pelletier2012"/>
    <w:p>
      <w:pPr>
        <w:pStyle w:val="Bibliography"/>
      </w:pPr>
      <w:r>
        <w:t xml:space="preserve">Pelletier, F. &amp; Coulson, T. (2012). A new metric to calculate the opportunity for selection on quantitative characters.</w:t>
      </w:r>
      <w:r>
        <w:t xml:space="preserve"> </w:t>
      </w:r>
      <w:r>
        <w:rPr>
          <w:iCs/>
          <w:i/>
        </w:rPr>
        <w:t xml:space="preserve">Evolutionary Ecology Research</w:t>
      </w:r>
      <w:r>
        <w:t xml:space="preserve">, 14, 729–742.</w:t>
      </w:r>
    </w:p>
    <w:bookmarkEnd w:id="101"/>
    <w:bookmarkStart w:id="102"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102"/>
    <w:bookmarkStart w:id="103"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103"/>
    <w:bookmarkStart w:id="104"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104"/>
    <w:bookmarkStart w:id="105" w:name="ref-Pottier2022"/>
    <w:p>
      <w:pPr>
        <w:pStyle w:val="Bibliography"/>
      </w:pPr>
      <w:r>
        <w:t xml:space="preserve">Pottier, P., Burke, S., Zhang, R.Y., Noble, D.W., Schwanz, L.E., Drobniak, S.M.,</w:t>
      </w:r>
      <w:r>
        <w:t xml:space="preserve"> </w:t>
      </w:r>
      <w:r>
        <w:rPr>
          <w:iCs/>
          <w:i/>
        </w:rPr>
        <w:t xml:space="preserve">et al.</w:t>
      </w:r>
      <w:r>
        <w:t xml:space="preserve"> (2022). Developmental plasticity in thermal tolerance: Ontogenetic variation, persistence, and future directions.</w:t>
      </w:r>
      <w:r>
        <w:t xml:space="preserve"> </w:t>
      </w:r>
      <w:r>
        <w:rPr>
          <w:iCs/>
          <w:i/>
        </w:rPr>
        <w:t xml:space="preserve">Ecology Letters</w:t>
      </w:r>
      <w:r>
        <w:t xml:space="preserve">, 25, 2245–2268.</w:t>
      </w:r>
    </w:p>
    <w:bookmarkEnd w:id="105"/>
    <w:bookmarkStart w:id="106"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06"/>
    <w:bookmarkStart w:id="107" w:name="ref-Scheiner2020"/>
    <w:p>
      <w:pPr>
        <w:pStyle w:val="Bibliography"/>
      </w:pPr>
      <w:r>
        <w:t xml:space="preserve">Scheiner, S.M., Barfield, M. &amp; Holt, R.D. (2020). The genetics of phenotypic plasticity. XVII. Response to climate change.</w:t>
      </w:r>
      <w:r>
        <w:t xml:space="preserve"> </w:t>
      </w:r>
      <w:r>
        <w:rPr>
          <w:iCs/>
          <w:i/>
        </w:rPr>
        <w:t xml:space="preserve">Evolutionary Applications</w:t>
      </w:r>
      <w:r>
        <w:t xml:space="preserve">, 13, 388–399.</w:t>
      </w:r>
    </w:p>
    <w:bookmarkEnd w:id="107"/>
    <w:bookmarkStart w:id="108" w:name="ref-Schindler2010"/>
    <w:p>
      <w:pPr>
        <w:pStyle w:val="Bibliography"/>
      </w:pPr>
      <w:r>
        <w:t xml:space="preserve">Schindler, D.E., Hilborn, R., Chasco, B., Boatright, C.P., Quinn, T.P., Rogers, L.A.,</w:t>
      </w:r>
      <w:r>
        <w:t xml:space="preserve"> </w:t>
      </w:r>
      <w:r>
        <w:rPr>
          <w:iCs/>
          <w:i/>
        </w:rPr>
        <w:t xml:space="preserve">et al.</w:t>
      </w:r>
      <w:r>
        <w:t xml:space="preserve"> (2010). Population diversity and the portfolio effect in an exploited species.</w:t>
      </w:r>
      <w:r>
        <w:t xml:space="preserve"> </w:t>
      </w:r>
      <w:r>
        <w:rPr>
          <w:iCs/>
          <w:i/>
        </w:rPr>
        <w:t xml:space="preserve">Nature</w:t>
      </w:r>
      <w:r>
        <w:t xml:space="preserve">, 465, 609–613.</w:t>
      </w:r>
    </w:p>
    <w:bookmarkEnd w:id="108"/>
    <w:bookmarkStart w:id="109"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09"/>
    <w:bookmarkStart w:id="110"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10"/>
    <w:bookmarkStart w:id="111"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11"/>
    <w:bookmarkStart w:id="112"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12"/>
    <w:bookmarkStart w:id="113"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13"/>
    <w:bookmarkStart w:id="114"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14"/>
    <w:bookmarkStart w:id="115" w:name="ref-WestEberhard2003"/>
    <w:p>
      <w:pPr>
        <w:pStyle w:val="Bibliography"/>
      </w:pPr>
      <w:r>
        <w:t xml:space="preserve">West-Eberhard, M.J. (2003).</w:t>
      </w:r>
      <w:r>
        <w:t xml:space="preserve"> </w:t>
      </w:r>
      <w:r>
        <w:rPr>
          <w:iCs/>
          <w:i/>
        </w:rPr>
        <w:t xml:space="preserve">Developmental plasticity and evolution.</w:t>
      </w:r>
      <w:r>
        <w:t xml:space="preserve"> Oxford University Press, New York.</w:t>
      </w:r>
    </w:p>
    <w:bookmarkEnd w:id="115"/>
    <w:bookmarkStart w:id="116"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16"/>
    <w:bookmarkEnd w:id="117"/>
    <w:p>
      <w:pPr>
        <w:pStyle w:val="BodyText"/>
      </w:pPr>
    </w:p>
    <w:bookmarkEnd w:id="118"/>
    <w:bookmarkStart w:id="134" w:name="supplemental-results-and-figures"/>
    <w:p>
      <w:pPr>
        <w:pStyle w:val="Heading2"/>
      </w:pPr>
      <w:r>
        <w:t xml:space="preserve">Supplemental Results and Figures</w:t>
      </w:r>
    </w:p>
    <w:bookmarkStart w:id="123"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7</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22" w:name="fig-s1"/>
          <w:p>
            <w:pPr>
              <w:pStyle w:val="Figure"/>
              <w:jc w:val="center"/>
            </w:pPr>
            <w:r>
              <w:drawing>
                <wp:inline>
                  <wp:extent cx="6680200" cy="4647095"/>
                  <wp:effectExtent b="0" l="0" r="0" t="0"/>
                  <wp:docPr descr="" title="" id="120" name="Picture"/>
                  <a:graphic>
                    <a:graphicData uri="http://schemas.openxmlformats.org/drawingml/2006/picture">
                      <pic:pic>
                        <pic:nvPicPr>
                          <pic:cNvPr descr="ms_files/figure-docx/fig-s1-1.png" id="121" name="Picture"/>
                          <pic:cNvPicPr>
                            <a:picLocks noChangeArrowheads="1" noChangeAspect="1"/>
                          </pic:cNvPicPr>
                        </pic:nvPicPr>
                        <pic:blipFill>
                          <a:blip r:embed="rId119"/>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lnVR</w:t>
            </w:r>
          </w:p>
          <w:bookmarkEnd w:id="122"/>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23"/>
    <w:bookmarkStart w:id="128"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27" w:name="fig-s3"/>
          <w:p>
            <w:pPr>
              <w:pStyle w:val="Figure"/>
              <w:jc w:val="center"/>
            </w:pPr>
            <w:r>
              <w:drawing>
                <wp:inline>
                  <wp:extent cx="6680200" cy="2379821"/>
                  <wp:effectExtent b="0" l="0" r="0" t="0"/>
                  <wp:docPr descr="" title="" id="125" name="Picture"/>
                  <a:graphic>
                    <a:graphicData uri="http://schemas.openxmlformats.org/drawingml/2006/picture">
                      <pic:pic>
                        <pic:nvPicPr>
                          <pic:cNvPr descr="ms_files/figure-docx/fig-s3-1.png" id="126" name="Picture"/>
                          <pic:cNvPicPr>
                            <a:picLocks noChangeArrowheads="1" noChangeAspect="1"/>
                          </pic:cNvPicPr>
                        </pic:nvPicPr>
                        <pic:blipFill>
                          <a:blip r:embed="rId124"/>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I2 estimates</w:t>
            </w:r>
          </w:p>
          <w:bookmarkEnd w:id="127"/>
        </w:tc>
      </w:tr>
    </w:tbl>
    <w:bookmarkEnd w:id="128"/>
    <w:bookmarkStart w:id="133"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132" w:name="fig-s2"/>
          <w:p>
            <w:pPr>
              <w:pStyle w:val="Figure"/>
              <w:jc w:val="center"/>
            </w:pPr>
            <w:r>
              <w:drawing>
                <wp:inline>
                  <wp:extent cx="6680200" cy="2788257"/>
                  <wp:effectExtent b="0" l="0" r="0" t="0"/>
                  <wp:docPr descr="" title="" id="130" name="Picture"/>
                  <a:graphic>
                    <a:graphicData uri="http://schemas.openxmlformats.org/drawingml/2006/picture">
                      <pic:pic>
                        <pic:nvPicPr>
                          <pic:cNvPr descr="ms_files/figure-docx/fig-s2-1.png" id="131" name="Picture"/>
                          <pic:cNvPicPr>
                            <a:picLocks noChangeArrowheads="1" noChangeAspect="1"/>
                          </pic:cNvPicPr>
                        </pic:nvPicPr>
                        <pic:blipFill>
                          <a:blip r:embed="rId129"/>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32"/>
        </w:tc>
      </w:tr>
    </w:tbl>
    <w:bookmarkEnd w:id="133"/>
    <w:bookmarkEnd w:id="134"/>
    <w:sectPr w:rsidR="00AC5C93" w:rsidSect="009F5736">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19" Target="media/rId119.png" /><Relationship Type="http://schemas.openxmlformats.org/officeDocument/2006/relationships/image" Id="rId129" Target="media/rId129.png" /><Relationship Type="http://schemas.openxmlformats.org/officeDocument/2006/relationships/image" Id="rId124" Target="media/rId12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2023-12-05T23:18:56Z</dcterms:created>
  <dcterms:modified xsi:type="dcterms:W3CDTF">2023-12-05T23:18:56Z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